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MARCUS STONE</w:t>
      </w:r>
    </w:p>
    <w:p>
      <w:pPr>
        <w:spacing w:after="100"/>
        <w:jc w:val="center"/>
      </w:pPr>
      <w:r>
        <w:rPr>
          <w:rFonts w:ascii="Calibri" w:cs="Calibri" w:eastAsia="Calibri" w:hAnsi="Calibri"/>
          <w:i/>
          <w:iCs/>
          <w:color w:val="555555"/>
          <w:sz w:val="24"/>
          <w:szCs w:val="24"/>
        </w:rPr>
        <w:t xml:space="preserve">Pond Management &amp; Fisheries Specialist</w:t>
      </w:r>
    </w:p>
    <w:p>
      <w:pPr>
        <w:pBdr>
          <w:bottom w:val="single" w:color="1F3864" w:sz="8" w:space="6"/>
        </w:pBdr>
        <w:spacing w:after="140"/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Montgomery, Alabama   |   334-322-4446   |   Marcus.stone.26@gmail.com</w:t>
      </w:r>
    </w:p>
    <w:p>
      <w:pPr>
        <w:pBdr>
          <w:bottom w:val="single" w:color="1F3864" w:sz="6" w:space="4"/>
        </w:pBdr>
        <w:spacing w:after="80" w:before="1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Pond-management and fisheries professional with three years of hands-on experience managing waters from 1-acre ponds to 2,000-acre systems. Maintained ongoing relationships with approximately 20 clients across Alabama, Texas, Louisiana, Mississippi, and Georgia while supporting the annual production of more than 2 million 2-inch bass. Particularly skilled in aquatic vegetation identification and chemical control, water quality, fisheries assessment, stocking strategies, and habitat improvement.</w:t>
      </w:r>
    </w:p>
    <w:p>
      <w:pPr>
        <w:pBdr>
          <w:bottom w:val="single" w:color="1F3864" w:sz="6" w:space="4"/>
        </w:pBdr>
        <w:spacing w:after="80" w:before="1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PROFESSIONAL EXPERIENCE</w:t>
      </w:r>
    </w:p>
    <w:p>
      <w:pPr>
        <w:tabs>
          <w:tab w:val="right" w:pos="9360"/>
        </w:tabs>
        <w:spacing w:after="1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Pond Management / Fisheries Technician</w:t>
      </w:r>
      <w:r>
        <w:rPr>
          <w:rFonts w:ascii="Calibri" w:cs="Calibri" w:eastAsia="Calibri" w:hAnsi="Calibri"/>
          <w:b/>
          <w:bCs/>
          <w:color w:val="555555"/>
          <w:sz w:val="21"/>
          <w:szCs w:val="21"/>
        </w:rPr>
        <w:t xml:space="preserve">	3 Years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American Sportfish Hatchery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Managed and improved ponds and lakes ranging from 1 acre to 2,000 acres, tailoring management plans to each waterbody, client objective, and fishery.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Maintained consistent service relationships with approximately 20 clients over three years across Alabama, Texas, Louisiana, Mississippi, and Georgia.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Identified aquatic vegetation types and selected appropriate chemical treatments, application methods, and treatment timing for effective control.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Conducted water-quality testing and used fertilization, liming, and corrective management practices to create productive conditions for fish.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Set up, operated, and captained electrofishing boats, assessed fish populations, calculated bass relative weights, and used results to guide management decisions.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Developed stocking-rate and forage strategies to build balanced ecosystems capable of producing large, healthy bass.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Designed, built, and installed fish habitat as well as siphon systems and standpipes for pond-water control.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Supported hatchery operations producing more than 2 million 2-inch bass annually, including grading, feed training, handling, and transfer.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Monitored fish health, administered medications as directed, and identified disease concerns requiring treatment.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Assisted with breeding and culture of bluegill, shiners, and shad to support forage-fish programs.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Operated tractors, excavators, backhoes, and dozers for pond maintenance, construction, and site work.</w:t>
      </w:r>
    </w:p>
    <w:p>
      <w:pPr>
        <w:pBdr>
          <w:bottom w:val="single" w:color="1F3864" w:sz="6" w:space="4"/>
        </w:pBdr>
        <w:spacing w:after="80" w:before="1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CORE SKILLS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50"/>
        <w:gridCol w:w="4750"/>
      </w:tblGrid>
      <w:tr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Aquatic plant identification</w:t>
            </w:r>
          </w:p>
        </w:tc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Large-scale pond and lake management</w:t>
            </w:r>
          </w:p>
        </w:tc>
      </w:tr>
      <w:tr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Water-quality testing and correction</w:t>
            </w:r>
          </w:p>
        </w:tc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Aquatic chemical selection and application</w:t>
            </w:r>
          </w:p>
        </w:tc>
      </w:tr>
      <w:tr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Electrofishing boat setup and operation</w:t>
            </w:r>
          </w:p>
        </w:tc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Fertilization and liming programs</w:t>
            </w:r>
          </w:p>
        </w:tc>
      </w:tr>
      <w:tr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Stocking-rate and ecosystem planning</w:t>
            </w:r>
          </w:p>
        </w:tc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Fisheries assessment and relative weights</w:t>
            </w:r>
          </w:p>
        </w:tc>
      </w:tr>
      <w:tr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Siphon systems and standpipe installation</w:t>
            </w:r>
          </w:p>
        </w:tc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Fish habitat construction and installation</w:t>
            </w:r>
          </w:p>
        </w:tc>
      </w:tr>
      <w:tr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Fish grading and feed training</w:t>
            </w:r>
          </w:p>
        </w:tc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Largemouth bass production</w:t>
            </w:r>
          </w:p>
        </w:tc>
      </w:tr>
      <w:tr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Bluegill, shiner, and shad breeding</w:t>
            </w:r>
          </w:p>
        </w:tc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Fish health and disease identification</w:t>
            </w:r>
          </w:p>
        </w:tc>
      </w:tr>
      <w:tr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Tractor, excavator, backhoe, and dozer operation</w:t>
            </w:r>
          </w:p>
        </w:tc>
        <w:tc>
          <w:tcPr>
            <w:tcW w:type="pct" w:w="50%"/>
            <w:shd w:fill="FFFFFF" w:color="auto" w:val="clear"/>
            <w:tcMar>
              <w:top w:type="dxa" w:w="20"/>
              <w:left w:type="dxa" w:w="0"/>
              <w:bottom w:type="dxa" w:w="20"/>
              <w:right w:type="dxa" w:w="100"/>
            </w:tcMar>
          </w:tcPr>
          <w:p/>
        </w:tc>
      </w:tr>
    </w:tbl>
    <w:p>
      <w:pPr>
        <w:pBdr>
          <w:bottom w:val="single" w:color="1F3864" w:sz="6" w:space="4"/>
        </w:pBdr>
        <w:spacing w:after="80" w:before="1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EDUCATION &amp; QUALIFICATIONS</w:t>
      </w:r>
    </w:p>
    <w:p>
      <w:pPr>
        <w:tabs>
          <w:tab w:val="right" w:pos="9360"/>
        </w:tabs>
        <w:spacing w:after="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Professional Chef Qualification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  —  Prue Leith Culinary Institute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2022</w:t>
      </w:r>
    </w:p>
    <w:p>
      <w:pPr>
        <w:tabs>
          <w:tab w:val="right" w:pos="9360"/>
        </w:tabs>
        <w:spacing w:after="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Qualification in Environmental Design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  —  Inscape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2018</w:t>
      </w:r>
    </w:p>
    <w:p>
      <w:pPr>
        <w:tabs>
          <w:tab w:val="right" w:pos="9360"/>
        </w:tabs>
        <w:spacing w:after="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Matric (Senior Certificate)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  —  Hoërskool Oos-Moot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2017</w:t>
      </w:r>
    </w:p>
    <w:sectPr>
      <w:pgSz w:w="12240" w:h="15840" w:orient="portrait"/>
      <w:pgMar w:top="576" w:right="1080" w:bottom="576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2026-08-07T14:47:31.533Z</dcterms:created>
  <dcterms:modified xsi:type="dcterms:W3CDTF">2026-08-07T14:47:31.533Z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